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B71" w:rsidRDefault="00AF0B71" w:rsidP="00AF0B71">
      <w:pPr>
        <w:pStyle w:val="NoSpacing"/>
        <w:jc w:val="center"/>
        <w:rPr>
          <w:rStyle w:val="Heading1Char"/>
          <w:bCs w:val="0"/>
          <w:color w:val="1F497D"/>
          <w:u w:val="single"/>
        </w:rPr>
      </w:pPr>
      <w:bookmarkStart w:id="0" w:name="p1"/>
      <w:bookmarkStart w:id="1" w:name="_GoBack"/>
      <w:bookmarkEnd w:id="1"/>
      <w:r w:rsidRPr="00B30B1F">
        <w:rPr>
          <w:rStyle w:val="Heading1Char"/>
          <w:bCs w:val="0"/>
          <w:color w:val="1F497D"/>
          <w:u w:val="single"/>
        </w:rPr>
        <w:t>Technical information sheet for the proposed SDG indicator</w:t>
      </w:r>
    </w:p>
    <w:p w:rsidR="00AF0B71" w:rsidRPr="00B30B1F" w:rsidRDefault="00AF0B71" w:rsidP="00AF0B71">
      <w:pPr>
        <w:pStyle w:val="NoSpacing"/>
        <w:jc w:val="center"/>
        <w:rPr>
          <w:rStyle w:val="Heading1Char"/>
          <w:bCs w:val="0"/>
          <w:color w:val="1F497D"/>
          <w:u w:val="single"/>
        </w:rPr>
      </w:pPr>
      <w:r>
        <w:rPr>
          <w:rStyle w:val="Heading1Char"/>
          <w:bCs w:val="0"/>
          <w:color w:val="1F497D"/>
          <w:u w:val="single"/>
        </w:rPr>
        <w:t>For Target 8.</w:t>
      </w:r>
      <w:r w:rsidR="00CA0033">
        <w:rPr>
          <w:rStyle w:val="Heading1Char"/>
          <w:bCs w:val="0"/>
          <w:color w:val="1F497D"/>
          <w:u w:val="single"/>
        </w:rPr>
        <w:t>2</w:t>
      </w:r>
    </w:p>
    <w:p w:rsidR="00AF0B71" w:rsidRPr="00B30B1F" w:rsidRDefault="00AF0B71" w:rsidP="00AF0B71">
      <w:pPr>
        <w:pStyle w:val="NoSpacing"/>
        <w:jc w:val="center"/>
        <w:rPr>
          <w:rStyle w:val="Heading1Char"/>
          <w:bCs w:val="0"/>
          <w:color w:val="1F497D"/>
        </w:rPr>
      </w:pPr>
    </w:p>
    <w:p w:rsidR="00AF0B71" w:rsidRPr="00A855C3" w:rsidRDefault="00AF0B71" w:rsidP="00AF0B71">
      <w:pPr>
        <w:pStyle w:val="NoSpacing"/>
        <w:jc w:val="both"/>
        <w:rPr>
          <w:rStyle w:val="Heading1Char"/>
          <w:b w:val="0"/>
          <w:bCs w:val="0"/>
          <w:color w:val="1F497D"/>
          <w:sz w:val="24"/>
        </w:rPr>
      </w:pPr>
      <w:r w:rsidRPr="00A855C3">
        <w:rPr>
          <w:rStyle w:val="Heading1Char"/>
          <w:sz w:val="24"/>
          <w:u w:val="single"/>
        </w:rPr>
        <w:t>Indicator</w:t>
      </w:r>
    </w:p>
    <w:p w:rsidR="00AF0B71" w:rsidRDefault="00CA0033" w:rsidP="00DC70AC">
      <w:pPr>
        <w:pStyle w:val="NoSpacing"/>
        <w:numPr>
          <w:ilvl w:val="0"/>
          <w:numId w:val="1"/>
        </w:numPr>
        <w:jc w:val="both"/>
      </w:pPr>
      <w:r w:rsidRPr="00CA0033">
        <w:t>% Increase in gross fixed capital fo</w:t>
      </w:r>
      <w:r>
        <w:t>rmation in sub national regions</w:t>
      </w:r>
    </w:p>
    <w:p w:rsidR="00DC70AC" w:rsidRDefault="00DC70AC" w:rsidP="00DC70AC">
      <w:pPr>
        <w:pStyle w:val="NoSpacing"/>
        <w:numPr>
          <w:ilvl w:val="0"/>
          <w:numId w:val="1"/>
        </w:numPr>
        <w:jc w:val="both"/>
      </w:pPr>
      <w:r w:rsidRPr="00DC70AC">
        <w:t>Number / value of investment projects in each region.</w:t>
      </w:r>
    </w:p>
    <w:p w:rsidR="00CA0033" w:rsidRPr="00B30B1F" w:rsidRDefault="00CA0033" w:rsidP="00AF0B71">
      <w:pPr>
        <w:pStyle w:val="NoSpacing"/>
        <w:jc w:val="both"/>
        <w:rPr>
          <w:rFonts w:eastAsia="Times New Roman"/>
          <w:b/>
          <w:bCs/>
          <w:lang w:eastAsia="en-GB"/>
        </w:rPr>
      </w:pPr>
    </w:p>
    <w:p w:rsidR="00AF0B71" w:rsidRPr="00A855C3" w:rsidRDefault="00AF0B71" w:rsidP="00AF0B71">
      <w:pPr>
        <w:pStyle w:val="NoSpacing"/>
        <w:jc w:val="both"/>
        <w:rPr>
          <w:rStyle w:val="Heading1Char"/>
          <w:sz w:val="24"/>
          <w:u w:val="single"/>
        </w:rPr>
      </w:pPr>
      <w:r w:rsidRPr="00A855C3">
        <w:rPr>
          <w:rStyle w:val="Heading1Char"/>
          <w:sz w:val="24"/>
          <w:u w:val="single"/>
        </w:rPr>
        <w:t xml:space="preserve">Goal and Target Addressed </w:t>
      </w:r>
      <w:bookmarkEnd w:id="0"/>
    </w:p>
    <w:p w:rsidR="00AF0B71" w:rsidRDefault="00AF0B71" w:rsidP="00AF0B71">
      <w:pPr>
        <w:pStyle w:val="NoSpacing"/>
        <w:jc w:val="both"/>
        <w:rPr>
          <w:rFonts w:eastAsia="Times New Roman"/>
          <w:b/>
          <w:bCs/>
          <w:lang w:val="en-US" w:eastAsia="en-GB"/>
        </w:rPr>
      </w:pPr>
      <w:r w:rsidRPr="00AF0B71">
        <w:rPr>
          <w:rFonts w:eastAsia="Times New Roman"/>
          <w:b/>
          <w:bCs/>
          <w:lang w:val="en-US" w:eastAsia="en-GB"/>
        </w:rPr>
        <w:t>Goal 8 Promote sustained, inclusive and sustainable economic growth, full and productive employment and decent work for all</w:t>
      </w:r>
    </w:p>
    <w:p w:rsidR="00AF0B71" w:rsidRDefault="00CA0033" w:rsidP="00AF0B71">
      <w:pPr>
        <w:pStyle w:val="NoSpacing"/>
        <w:jc w:val="both"/>
      </w:pPr>
      <w:bookmarkStart w:id="2" w:name="p2"/>
      <w:r w:rsidRPr="00CA0033">
        <w:rPr>
          <w:b/>
        </w:rPr>
        <w:t xml:space="preserve">Target 8.2 </w:t>
      </w:r>
      <w:r w:rsidRPr="00CA0033">
        <w:t>Achieve higher levels of economic productivity through diversification, technological upgrading and innovation, including through a focus on high-value-added and labour-intensive sectors</w:t>
      </w:r>
    </w:p>
    <w:p w:rsidR="00CA0033" w:rsidRPr="00CA0033" w:rsidRDefault="00CA0033" w:rsidP="00AF0B71">
      <w:pPr>
        <w:pStyle w:val="NoSpacing"/>
        <w:jc w:val="both"/>
        <w:rPr>
          <w:rStyle w:val="Heading1Char"/>
        </w:rPr>
      </w:pPr>
    </w:p>
    <w:p w:rsidR="00AF0B71" w:rsidRPr="00A855C3" w:rsidRDefault="00AF0B71" w:rsidP="00AF0B71">
      <w:pPr>
        <w:pStyle w:val="NoSpacing"/>
        <w:jc w:val="both"/>
        <w:rPr>
          <w:rStyle w:val="Heading1Char"/>
          <w:sz w:val="24"/>
          <w:u w:val="single"/>
        </w:rPr>
      </w:pPr>
      <w:bookmarkStart w:id="3" w:name="p3"/>
      <w:bookmarkEnd w:id="2"/>
      <w:r w:rsidRPr="00A855C3">
        <w:rPr>
          <w:rStyle w:val="Heading1Char"/>
          <w:sz w:val="24"/>
          <w:u w:val="single"/>
        </w:rPr>
        <w:t>Rationale and Interpretation</w:t>
      </w:r>
      <w:bookmarkEnd w:id="3"/>
    </w:p>
    <w:p w:rsidR="00AF0B71" w:rsidRDefault="00EA6D55" w:rsidP="00AF0B71">
      <w:pPr>
        <w:pStyle w:val="NoSpacing"/>
        <w:jc w:val="both"/>
      </w:pPr>
      <w:r w:rsidRPr="00EA6D55">
        <w:t>Sustained, inclusive and sustainable economic growth requires value chains and linkages between economic actors at the local level.  This requires both public and private investment in projects that increase productive capacity, particularly in value added and labour intensive sectors. Such investment does not happen automatically. It can be encouraged by pro-active public engagement in enabling infrastructure and supportive institutional environment. It also requires the availability of investment finance at the local level for capital projects.  Evidence demonstrates that dynamic regions and localities pursuing local economic development strategies support overall economic resilience. An indicator of sub national performance would encourage growth to spread across regions and sectors.</w:t>
      </w:r>
    </w:p>
    <w:p w:rsidR="00EA6D55" w:rsidRDefault="00EA6D55" w:rsidP="00AF0B71">
      <w:pPr>
        <w:pStyle w:val="NoSpacing"/>
        <w:jc w:val="both"/>
      </w:pPr>
    </w:p>
    <w:p w:rsidR="00AF0B71" w:rsidRPr="00A855C3" w:rsidRDefault="00AF0B71" w:rsidP="00AF0B71">
      <w:pPr>
        <w:pStyle w:val="NoSpacing"/>
        <w:jc w:val="both"/>
        <w:rPr>
          <w:rStyle w:val="Heading1Char"/>
          <w:sz w:val="24"/>
          <w:u w:val="single"/>
          <w:lang w:eastAsia="en-GB"/>
        </w:rPr>
      </w:pPr>
      <w:r>
        <w:rPr>
          <w:rStyle w:val="Heading1Char"/>
          <w:sz w:val="24"/>
          <w:u w:val="single"/>
        </w:rPr>
        <w:t>Data Source</w:t>
      </w:r>
    </w:p>
    <w:p w:rsidR="00B46139" w:rsidRDefault="00AF0B71">
      <w:r w:rsidRPr="00AF0B71">
        <w:rPr>
          <w:rFonts w:ascii="Calibri" w:eastAsia="Times New Roman" w:hAnsi="Calibri" w:cs="Times New Roman"/>
          <w:lang w:val="en-GB" w:eastAsia="en-GB"/>
        </w:rPr>
        <w:t>National statistics disaggregated by territorial division at the first level (province, state, governorate etc). Statistics from major cities.</w:t>
      </w:r>
    </w:p>
    <w:sectPr w:rsidR="00B461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BB0039"/>
    <w:multiLevelType w:val="hybridMultilevel"/>
    <w:tmpl w:val="A8520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B71"/>
    <w:rsid w:val="00422F09"/>
    <w:rsid w:val="00452809"/>
    <w:rsid w:val="004F4A77"/>
    <w:rsid w:val="00AF0B71"/>
    <w:rsid w:val="00CA0033"/>
    <w:rsid w:val="00DC70AC"/>
    <w:rsid w:val="00EA6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F0B71"/>
    <w:pPr>
      <w:keepNext/>
      <w:keepLines/>
      <w:spacing w:before="480" w:after="0" w:line="240" w:lineRule="auto"/>
      <w:outlineLvl w:val="0"/>
    </w:pPr>
    <w:rPr>
      <w:rFonts w:ascii="Cambria" w:eastAsia="SimSun" w:hAnsi="Cambria" w:cs="Times New Roman"/>
      <w:b/>
      <w:bCs/>
      <w:color w:val="365F91"/>
      <w:sz w:val="28"/>
      <w:szCs w:val="28"/>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0B71"/>
    <w:rPr>
      <w:rFonts w:ascii="Cambria" w:eastAsia="SimSun" w:hAnsi="Cambria" w:cs="Times New Roman"/>
      <w:b/>
      <w:bCs/>
      <w:color w:val="365F91"/>
      <w:sz w:val="28"/>
      <w:szCs w:val="28"/>
      <w:lang w:val="en-GB" w:eastAsia="ja-JP"/>
    </w:rPr>
  </w:style>
  <w:style w:type="paragraph" w:styleId="NoSpacing">
    <w:name w:val="No Spacing"/>
    <w:uiPriority w:val="1"/>
    <w:qFormat/>
    <w:rsid w:val="00AF0B71"/>
    <w:pPr>
      <w:spacing w:after="0" w:line="240" w:lineRule="auto"/>
    </w:pPr>
    <w:rPr>
      <w:rFonts w:ascii="Calibri" w:eastAsia="Calibri"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F0B71"/>
    <w:pPr>
      <w:keepNext/>
      <w:keepLines/>
      <w:spacing w:before="480" w:after="0" w:line="240" w:lineRule="auto"/>
      <w:outlineLvl w:val="0"/>
    </w:pPr>
    <w:rPr>
      <w:rFonts w:ascii="Cambria" w:eastAsia="SimSun" w:hAnsi="Cambria" w:cs="Times New Roman"/>
      <w:b/>
      <w:bCs/>
      <w:color w:val="365F91"/>
      <w:sz w:val="28"/>
      <w:szCs w:val="28"/>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0B71"/>
    <w:rPr>
      <w:rFonts w:ascii="Cambria" w:eastAsia="SimSun" w:hAnsi="Cambria" w:cs="Times New Roman"/>
      <w:b/>
      <w:bCs/>
      <w:color w:val="365F91"/>
      <w:sz w:val="28"/>
      <w:szCs w:val="28"/>
      <w:lang w:val="en-GB" w:eastAsia="ja-JP"/>
    </w:rPr>
  </w:style>
  <w:style w:type="paragraph" w:styleId="NoSpacing">
    <w:name w:val="No Spacing"/>
    <w:uiPriority w:val="1"/>
    <w:qFormat/>
    <w:rsid w:val="00AF0B71"/>
    <w:pPr>
      <w:spacing w:after="0" w:line="240" w:lineRule="auto"/>
    </w:pPr>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230</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Darah Aljoudar</dc:creator>
  <cp:lastModifiedBy>Benjamin Rae</cp:lastModifiedBy>
  <cp:revision>2</cp:revision>
  <dcterms:created xsi:type="dcterms:W3CDTF">2015-05-18T16:35:00Z</dcterms:created>
  <dcterms:modified xsi:type="dcterms:W3CDTF">2015-05-18T16:35:00Z</dcterms:modified>
</cp:coreProperties>
</file>